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4B7" w:rsidRPr="008019CC" w:rsidRDefault="00B454B7" w:rsidP="008019CC">
      <w:pPr>
        <w:pStyle w:val="BodyText"/>
        <w:ind w:firstLine="720"/>
      </w:pPr>
    </w:p>
    <w:p w:rsidR="00B454B7" w:rsidRPr="008019CC" w:rsidRDefault="00B454B7" w:rsidP="008019CC">
      <w:pPr>
        <w:pStyle w:val="BodyText"/>
        <w:ind w:firstLine="720"/>
      </w:pPr>
    </w:p>
    <w:p w:rsidR="00B454B7" w:rsidRPr="008019CC" w:rsidRDefault="00B454B7" w:rsidP="008019CC">
      <w:pPr>
        <w:pStyle w:val="BodyText"/>
        <w:ind w:firstLine="720"/>
      </w:pPr>
    </w:p>
    <w:p w:rsidR="00B454B7" w:rsidRPr="008019CC" w:rsidRDefault="00B454B7" w:rsidP="008019CC">
      <w:pPr>
        <w:pStyle w:val="BodyText"/>
        <w:ind w:firstLine="720"/>
      </w:pPr>
    </w:p>
    <w:p w:rsidR="00B454B7" w:rsidRPr="008019CC" w:rsidRDefault="00B454B7" w:rsidP="008019CC">
      <w:pPr>
        <w:pStyle w:val="BodyText"/>
        <w:ind w:firstLine="720"/>
      </w:pPr>
    </w:p>
    <w:p w:rsidR="00B454B7" w:rsidRPr="008019CC" w:rsidRDefault="00B454B7" w:rsidP="008019CC">
      <w:pPr>
        <w:pStyle w:val="BodyText"/>
        <w:ind w:firstLine="720"/>
      </w:pPr>
    </w:p>
    <w:p w:rsidR="00B454B7" w:rsidRPr="0004424D" w:rsidRDefault="00B454B7" w:rsidP="008019CC">
      <w:pPr>
        <w:pStyle w:val="BodyText"/>
        <w:ind w:firstLine="720"/>
        <w:rPr>
          <w:szCs w:val="24"/>
        </w:rPr>
      </w:pPr>
    </w:p>
    <w:p w:rsidR="00B454B7" w:rsidRPr="0004424D" w:rsidRDefault="00B454B7" w:rsidP="008019CC">
      <w:pPr>
        <w:pStyle w:val="BodyText"/>
        <w:ind w:firstLine="720"/>
        <w:rPr>
          <w:szCs w:val="24"/>
        </w:rPr>
      </w:pPr>
    </w:p>
    <w:p w:rsidR="00B454B7" w:rsidRPr="0004424D" w:rsidRDefault="00B454B7" w:rsidP="008019CC">
      <w:pPr>
        <w:pStyle w:val="BodyText"/>
        <w:ind w:firstLine="720"/>
        <w:rPr>
          <w:szCs w:val="24"/>
        </w:rPr>
      </w:pPr>
    </w:p>
    <w:p w:rsidR="00656E36" w:rsidRPr="0004424D" w:rsidRDefault="00126744" w:rsidP="00902FDA">
      <w:pPr>
        <w:pStyle w:val="Heading1"/>
        <w:rPr>
          <w:szCs w:val="24"/>
        </w:rPr>
      </w:pPr>
      <w:bookmarkStart w:id="0" w:name="bkPaperTitl"/>
      <w:bookmarkStart w:id="1" w:name="bkAuthor"/>
      <w:bookmarkEnd w:id="0"/>
      <w:bookmarkEnd w:id="1"/>
      <w:r w:rsidRPr="0004424D">
        <w:rPr>
          <w:szCs w:val="24"/>
        </w:rPr>
        <w:t xml:space="preserve">Case </w:t>
      </w:r>
      <w:r w:rsidR="00E25C3C" w:rsidRPr="0004424D">
        <w:rPr>
          <w:szCs w:val="24"/>
        </w:rPr>
        <w:t>Synopsis</w:t>
      </w:r>
    </w:p>
    <w:p w:rsidR="00B454B7" w:rsidRPr="0004424D" w:rsidRDefault="00126744" w:rsidP="00902FDA">
      <w:pPr>
        <w:pStyle w:val="Heading1"/>
        <w:rPr>
          <w:szCs w:val="24"/>
        </w:rPr>
      </w:pPr>
      <w:r w:rsidRPr="0004424D">
        <w:rPr>
          <w:szCs w:val="24"/>
        </w:rPr>
        <w:t>Student’s Name</w:t>
      </w:r>
    </w:p>
    <w:p w:rsidR="00B454B7" w:rsidRDefault="00126744" w:rsidP="00902FDA">
      <w:pPr>
        <w:pStyle w:val="Heading1"/>
        <w:rPr>
          <w:szCs w:val="24"/>
        </w:rPr>
      </w:pPr>
      <w:bookmarkStart w:id="2" w:name="bkAuthorAffil"/>
      <w:bookmarkEnd w:id="2"/>
      <w:r w:rsidRPr="0004424D">
        <w:rPr>
          <w:szCs w:val="24"/>
        </w:rPr>
        <w:t>Institutional Affiliation</w:t>
      </w:r>
    </w:p>
    <w:p w:rsidR="00902FDA" w:rsidRPr="00902FDA" w:rsidRDefault="00126744" w:rsidP="00902FDA">
      <w:pPr>
        <w:pStyle w:val="BodyText"/>
        <w:ind w:firstLine="0"/>
        <w:jc w:val="center"/>
      </w:pPr>
      <w:r>
        <w:t>Date of Submission</w:t>
      </w:r>
    </w:p>
    <w:p w:rsidR="0096435E" w:rsidRPr="0004424D" w:rsidRDefault="00126744" w:rsidP="0096435E">
      <w:pPr>
        <w:spacing w:line="480" w:lineRule="auto"/>
        <w:jc w:val="center"/>
        <w:rPr>
          <w:rFonts w:ascii="Times New Roman" w:hAnsi="Times New Roman"/>
          <w:szCs w:val="24"/>
        </w:rPr>
      </w:pPr>
      <w:r w:rsidRPr="0004424D">
        <w:rPr>
          <w:rFonts w:ascii="Times New Roman" w:hAnsi="Times New Roman"/>
          <w:szCs w:val="24"/>
        </w:rPr>
        <w:br w:type="page"/>
      </w:r>
      <w:r w:rsidRPr="0004424D">
        <w:rPr>
          <w:rFonts w:ascii="Times New Roman" w:hAnsi="Times New Roman"/>
          <w:szCs w:val="24"/>
        </w:rPr>
        <w:lastRenderedPageBreak/>
        <w:t>Brown v. Board of Education, 347 U.S. 483 (1954)</w:t>
      </w:r>
    </w:p>
    <w:p w:rsidR="0004424D" w:rsidRDefault="00126744" w:rsidP="0004424D">
      <w:pPr>
        <w:spacing w:line="480" w:lineRule="auto"/>
        <w:rPr>
          <w:rFonts w:ascii="Times New Roman" w:hAnsi="Times New Roman"/>
          <w:szCs w:val="24"/>
        </w:rPr>
      </w:pPr>
      <w:r>
        <w:rPr>
          <w:rFonts w:ascii="Times New Roman" w:hAnsi="Times New Roman"/>
          <w:szCs w:val="24"/>
        </w:rPr>
        <w:t>Facts:</w:t>
      </w:r>
    </w:p>
    <w:p w:rsidR="0096435E" w:rsidRPr="0004424D" w:rsidRDefault="00126744" w:rsidP="0004424D">
      <w:pPr>
        <w:spacing w:line="480" w:lineRule="auto"/>
        <w:ind w:firstLine="720"/>
        <w:rPr>
          <w:rFonts w:ascii="Times New Roman" w:hAnsi="Times New Roman"/>
          <w:szCs w:val="24"/>
        </w:rPr>
      </w:pPr>
      <w:r w:rsidRPr="0004424D">
        <w:rPr>
          <w:rFonts w:ascii="Times New Roman" w:hAnsi="Times New Roman"/>
          <w:szCs w:val="24"/>
        </w:rPr>
        <w:t xml:space="preserve">In the year 1896, Black children were deprived of admission to their community public schools. The schools were </w:t>
      </w:r>
      <w:r w:rsidRPr="0004424D">
        <w:rPr>
          <w:rFonts w:ascii="Times New Roman" w:hAnsi="Times New Roman"/>
          <w:szCs w:val="24"/>
        </w:rPr>
        <w:t>only attended by white children and this was only under the State segregation laws in some places such as Topeka, Kansas where Brown dwelled. The plaintiffs argued they would never get the same public education in black schools due</w:t>
      </w:r>
      <w:r w:rsidR="004C6286" w:rsidRPr="0004424D">
        <w:rPr>
          <w:rFonts w:ascii="Times New Roman" w:hAnsi="Times New Roman"/>
          <w:szCs w:val="24"/>
        </w:rPr>
        <w:t xml:space="preserve"> to</w:t>
      </w:r>
      <w:r w:rsidRPr="0004424D">
        <w:rPr>
          <w:rFonts w:ascii="Times New Roman" w:hAnsi="Times New Roman"/>
          <w:szCs w:val="24"/>
        </w:rPr>
        <w:t xml:space="preserve"> </w:t>
      </w:r>
      <w:r w:rsidR="004C6286" w:rsidRPr="0004424D">
        <w:rPr>
          <w:rFonts w:ascii="Times New Roman" w:hAnsi="Times New Roman"/>
          <w:szCs w:val="24"/>
        </w:rPr>
        <w:t xml:space="preserve">a </w:t>
      </w:r>
      <w:r w:rsidRPr="0004424D">
        <w:rPr>
          <w:rFonts w:ascii="Times New Roman" w:hAnsi="Times New Roman"/>
          <w:szCs w:val="24"/>
        </w:rPr>
        <w:t xml:space="preserve">lack of motivation </w:t>
      </w:r>
      <w:r w:rsidRPr="0004424D">
        <w:rPr>
          <w:rFonts w:ascii="Times New Roman" w:hAnsi="Times New Roman"/>
          <w:szCs w:val="24"/>
        </w:rPr>
        <w:t xml:space="preserve">in educational and mental development. This was because of </w:t>
      </w:r>
      <w:r w:rsidR="004C6286" w:rsidRPr="0004424D">
        <w:rPr>
          <w:rFonts w:ascii="Times New Roman" w:hAnsi="Times New Roman"/>
          <w:szCs w:val="24"/>
        </w:rPr>
        <w:t xml:space="preserve">the </w:t>
      </w:r>
      <w:r w:rsidRPr="0004424D">
        <w:rPr>
          <w:rFonts w:ascii="Times New Roman" w:hAnsi="Times New Roman"/>
          <w:szCs w:val="24"/>
        </w:rPr>
        <w:t>constant inferiority imposed by separation</w:t>
      </w:r>
      <w:r w:rsidR="00902FDA" w:rsidRPr="00902FDA">
        <w:rPr>
          <w:rFonts w:ascii="Times New Roman" w:hAnsi="Times New Roman"/>
          <w:color w:val="222222"/>
          <w:szCs w:val="24"/>
          <w:shd w:val="clear" w:color="auto" w:fill="FFFFFF"/>
        </w:rPr>
        <w:t xml:space="preserve"> </w:t>
      </w:r>
      <w:r w:rsidR="00902FDA">
        <w:rPr>
          <w:rFonts w:ascii="Times New Roman" w:hAnsi="Times New Roman"/>
          <w:color w:val="222222"/>
          <w:szCs w:val="24"/>
          <w:shd w:val="clear" w:color="auto" w:fill="FFFFFF"/>
        </w:rPr>
        <w:t>(</w:t>
      </w:r>
      <w:r w:rsidR="00902FDA" w:rsidRPr="00902FDA">
        <w:rPr>
          <w:rFonts w:ascii="Times New Roman" w:hAnsi="Times New Roman"/>
          <w:szCs w:val="24"/>
        </w:rPr>
        <w:t>Kaupea</w:t>
      </w:r>
      <w:r w:rsidR="00902FDA">
        <w:rPr>
          <w:rFonts w:ascii="Times New Roman" w:hAnsi="Times New Roman"/>
          <w:szCs w:val="24"/>
        </w:rPr>
        <w:t>r, 1954)</w:t>
      </w:r>
      <w:r w:rsidRPr="0004424D">
        <w:rPr>
          <w:rFonts w:ascii="Times New Roman" w:hAnsi="Times New Roman"/>
          <w:szCs w:val="24"/>
        </w:rPr>
        <w:t xml:space="preserve">. For </w:t>
      </w:r>
      <w:r w:rsidR="004C6286" w:rsidRPr="0004424D">
        <w:rPr>
          <w:rFonts w:ascii="Times New Roman" w:hAnsi="Times New Roman"/>
          <w:szCs w:val="24"/>
        </w:rPr>
        <w:t xml:space="preserve">the </w:t>
      </w:r>
      <w:r w:rsidRPr="0004424D">
        <w:rPr>
          <w:rFonts w:ascii="Times New Roman" w:hAnsi="Times New Roman"/>
          <w:szCs w:val="24"/>
        </w:rPr>
        <w:t>betterment of education in black schools, the important aspects that schools relied upon to function were equalized or are be</w:t>
      </w:r>
      <w:r w:rsidRPr="0004424D">
        <w:rPr>
          <w:rFonts w:ascii="Times New Roman" w:hAnsi="Times New Roman"/>
          <w:szCs w:val="24"/>
        </w:rPr>
        <w:t>ing equalized. The black students would then seek admission to white schools.</w:t>
      </w:r>
    </w:p>
    <w:p w:rsidR="0004424D" w:rsidRDefault="00126744" w:rsidP="0004424D">
      <w:pPr>
        <w:spacing w:line="480" w:lineRule="auto"/>
        <w:rPr>
          <w:rFonts w:ascii="Times New Roman" w:hAnsi="Times New Roman"/>
          <w:szCs w:val="24"/>
        </w:rPr>
      </w:pPr>
      <w:r>
        <w:rPr>
          <w:rFonts w:ascii="Times New Roman" w:hAnsi="Times New Roman"/>
          <w:szCs w:val="24"/>
        </w:rPr>
        <w:t>Issues:</w:t>
      </w:r>
    </w:p>
    <w:p w:rsidR="0096435E" w:rsidRPr="0004424D" w:rsidRDefault="00126744" w:rsidP="0004424D">
      <w:pPr>
        <w:spacing w:line="480" w:lineRule="auto"/>
        <w:ind w:firstLine="720"/>
        <w:rPr>
          <w:rFonts w:ascii="Times New Roman" w:hAnsi="Times New Roman"/>
          <w:szCs w:val="24"/>
        </w:rPr>
      </w:pPr>
      <w:r w:rsidRPr="0004424D">
        <w:rPr>
          <w:rFonts w:ascii="Times New Roman" w:hAnsi="Times New Roman"/>
          <w:szCs w:val="24"/>
        </w:rPr>
        <w:t xml:space="preserve">Whether the Fourteenth Amendment allowed the “separate but equal” policy, and whether the educational situation of the plaintiffs was equivalent to the white public </w:t>
      </w:r>
      <w:r w:rsidRPr="0004424D">
        <w:rPr>
          <w:rFonts w:ascii="Times New Roman" w:hAnsi="Times New Roman"/>
          <w:szCs w:val="24"/>
        </w:rPr>
        <w:t>school education.</w:t>
      </w:r>
    </w:p>
    <w:p w:rsidR="0004424D" w:rsidRDefault="00126744" w:rsidP="0004424D">
      <w:pPr>
        <w:spacing w:line="480" w:lineRule="auto"/>
        <w:rPr>
          <w:rFonts w:ascii="Times New Roman" w:hAnsi="Times New Roman"/>
          <w:szCs w:val="24"/>
        </w:rPr>
      </w:pPr>
      <w:r>
        <w:rPr>
          <w:rFonts w:ascii="Times New Roman" w:hAnsi="Times New Roman"/>
          <w:szCs w:val="24"/>
        </w:rPr>
        <w:t>Holding:</w:t>
      </w:r>
    </w:p>
    <w:p w:rsidR="0096435E" w:rsidRPr="0004424D" w:rsidRDefault="00126744" w:rsidP="0004424D">
      <w:pPr>
        <w:spacing w:line="480" w:lineRule="auto"/>
        <w:ind w:firstLine="720"/>
        <w:rPr>
          <w:rFonts w:ascii="Times New Roman" w:hAnsi="Times New Roman"/>
          <w:szCs w:val="24"/>
        </w:rPr>
      </w:pPr>
      <w:r w:rsidRPr="0004424D">
        <w:rPr>
          <w:rFonts w:ascii="Times New Roman" w:hAnsi="Times New Roman"/>
          <w:szCs w:val="24"/>
        </w:rPr>
        <w:t>The policy of ‘separate but equal’ was unconstitutional under the Fourteenth Amendment Equal Protection Clause. Therefore, the black children were ordered to get admission to white public schools in which they had applied fo</w:t>
      </w:r>
      <w:r w:rsidR="00902FDA">
        <w:rPr>
          <w:rFonts w:ascii="Times New Roman" w:hAnsi="Times New Roman"/>
          <w:szCs w:val="24"/>
        </w:rPr>
        <w:t>r and had been denied admission</w:t>
      </w:r>
      <w:r w:rsidR="00902FDA" w:rsidRPr="00902FDA">
        <w:rPr>
          <w:rFonts w:ascii="Times New Roman" w:hAnsi="Times New Roman"/>
          <w:color w:val="222222"/>
          <w:szCs w:val="24"/>
          <w:shd w:val="clear" w:color="auto" w:fill="FFFFFF"/>
        </w:rPr>
        <w:t xml:space="preserve"> </w:t>
      </w:r>
      <w:r w:rsidR="00902FDA">
        <w:rPr>
          <w:rFonts w:ascii="Times New Roman" w:hAnsi="Times New Roman"/>
          <w:color w:val="222222"/>
          <w:szCs w:val="24"/>
          <w:shd w:val="clear" w:color="auto" w:fill="FFFFFF"/>
        </w:rPr>
        <w:t>(</w:t>
      </w:r>
      <w:r w:rsidR="00902FDA">
        <w:rPr>
          <w:rFonts w:ascii="Times New Roman" w:hAnsi="Times New Roman"/>
          <w:szCs w:val="24"/>
        </w:rPr>
        <w:t xml:space="preserve">Bishop, </w:t>
      </w:r>
      <w:r w:rsidR="00902FDA" w:rsidRPr="00902FDA">
        <w:rPr>
          <w:rFonts w:ascii="Times New Roman" w:hAnsi="Times New Roman"/>
          <w:szCs w:val="24"/>
        </w:rPr>
        <w:t>1977).</w:t>
      </w:r>
    </w:p>
    <w:p w:rsidR="0004424D" w:rsidRDefault="00126744" w:rsidP="0004424D">
      <w:pPr>
        <w:spacing w:line="480" w:lineRule="auto"/>
        <w:rPr>
          <w:rFonts w:ascii="Times New Roman" w:hAnsi="Times New Roman"/>
          <w:szCs w:val="24"/>
        </w:rPr>
      </w:pPr>
      <w:r>
        <w:rPr>
          <w:rFonts w:ascii="Times New Roman" w:hAnsi="Times New Roman"/>
          <w:szCs w:val="24"/>
        </w:rPr>
        <w:t>Rationale:</w:t>
      </w:r>
    </w:p>
    <w:p w:rsidR="0004424D" w:rsidRDefault="00126744" w:rsidP="0004424D">
      <w:pPr>
        <w:spacing w:line="480" w:lineRule="auto"/>
        <w:ind w:firstLine="720"/>
        <w:rPr>
          <w:rFonts w:ascii="Times New Roman" w:hAnsi="Times New Roman"/>
          <w:szCs w:val="24"/>
        </w:rPr>
      </w:pPr>
      <w:r w:rsidRPr="0004424D">
        <w:rPr>
          <w:rFonts w:ascii="Times New Roman" w:hAnsi="Times New Roman"/>
          <w:szCs w:val="24"/>
        </w:rPr>
        <w:t xml:space="preserve">The court found out that the principles of separate but equal educational amenities “are intrinsically unequal.” Thus, no manner of equalized separation could ever reach the demand imposed by the Equal </w:t>
      </w:r>
      <w:r w:rsidRPr="0004424D">
        <w:rPr>
          <w:rFonts w:ascii="Times New Roman" w:hAnsi="Times New Roman"/>
          <w:szCs w:val="24"/>
        </w:rPr>
        <w:t xml:space="preserve">Protection Clause of the Fourteenth Amendment. By the time the Fourteenth Amendment had been passed that its preceding explanation in </w:t>
      </w:r>
      <w:r w:rsidRPr="0004424D">
        <w:rPr>
          <w:rFonts w:ascii="Times New Roman" w:hAnsi="Times New Roman"/>
          <w:i/>
          <w:szCs w:val="24"/>
        </w:rPr>
        <w:t>Plessy v. Ferguson</w:t>
      </w:r>
      <w:r w:rsidRPr="0004424D">
        <w:rPr>
          <w:rFonts w:ascii="Times New Roman" w:hAnsi="Times New Roman"/>
          <w:szCs w:val="24"/>
        </w:rPr>
        <w:t xml:space="preserve"> was </w:t>
      </w:r>
      <w:r w:rsidRPr="0004424D">
        <w:rPr>
          <w:rFonts w:ascii="Times New Roman" w:hAnsi="Times New Roman"/>
          <w:szCs w:val="24"/>
        </w:rPr>
        <w:lastRenderedPageBreak/>
        <w:t>no longer valid, education had changed to a large extent. Furthermore, Segregation has intrinsic in</w:t>
      </w:r>
      <w:r w:rsidRPr="0004424D">
        <w:rPr>
          <w:rFonts w:ascii="Times New Roman" w:hAnsi="Times New Roman"/>
          <w:szCs w:val="24"/>
        </w:rPr>
        <w:t>equalities for children</w:t>
      </w:r>
      <w:r w:rsidR="00902FDA" w:rsidRPr="00902FDA">
        <w:rPr>
          <w:rFonts w:ascii="Times New Roman" w:hAnsi="Times New Roman"/>
          <w:color w:val="333333"/>
          <w:szCs w:val="24"/>
        </w:rPr>
        <w:t xml:space="preserve"> </w:t>
      </w:r>
      <w:r w:rsidR="00902FDA">
        <w:rPr>
          <w:rFonts w:ascii="Times New Roman" w:hAnsi="Times New Roman"/>
          <w:color w:val="333333"/>
          <w:szCs w:val="24"/>
        </w:rPr>
        <w:t>(</w:t>
      </w:r>
      <w:r w:rsidR="00902FDA">
        <w:rPr>
          <w:rFonts w:ascii="Times New Roman" w:hAnsi="Times New Roman"/>
          <w:szCs w:val="24"/>
        </w:rPr>
        <w:t>Groves, 1951).</w:t>
      </w:r>
      <w:r w:rsidRPr="0004424D">
        <w:rPr>
          <w:rFonts w:ascii="Times New Roman" w:hAnsi="Times New Roman"/>
          <w:szCs w:val="24"/>
        </w:rPr>
        <w:t xml:space="preserve"> These innate inequalities have unfavorable effects of the black children of segregated schools restraining the long term capabilities as citizens. This is what the Fourteenth Amendment sought to proscribe, and does i</w:t>
      </w:r>
      <w:r w:rsidRPr="0004424D">
        <w:rPr>
          <w:rFonts w:ascii="Times New Roman" w:hAnsi="Times New Roman"/>
          <w:szCs w:val="24"/>
        </w:rPr>
        <w:t>n the case. For that case, the race from which a person comes from should not be the reason as to why plaintiffs and all other black children are deprived of admission to a public school.</w:t>
      </w:r>
    </w:p>
    <w:p w:rsidR="0096435E" w:rsidRPr="0004424D" w:rsidRDefault="00126744" w:rsidP="0004424D">
      <w:pPr>
        <w:spacing w:line="480" w:lineRule="auto"/>
        <w:ind w:firstLine="720"/>
        <w:rPr>
          <w:rFonts w:ascii="Times New Roman" w:hAnsi="Times New Roman"/>
          <w:szCs w:val="24"/>
        </w:rPr>
      </w:pPr>
      <w:r w:rsidRPr="0004424D">
        <w:rPr>
          <w:rFonts w:ascii="Times New Roman" w:hAnsi="Times New Roman"/>
          <w:szCs w:val="24"/>
        </w:rPr>
        <w:t>At this point, the court then extended the reach of the ban of separ</w:t>
      </w:r>
      <w:r w:rsidRPr="0004424D">
        <w:rPr>
          <w:rFonts w:ascii="Times New Roman" w:hAnsi="Times New Roman"/>
          <w:szCs w:val="24"/>
        </w:rPr>
        <w:t xml:space="preserve">ate but equal to all aspects of society for public education. Hence, the court directly overturned the Supreme Court case of </w:t>
      </w:r>
      <w:r w:rsidRPr="0004424D">
        <w:rPr>
          <w:rFonts w:ascii="Times New Roman" w:hAnsi="Times New Roman"/>
          <w:i/>
          <w:szCs w:val="24"/>
        </w:rPr>
        <w:t xml:space="preserve">Plessy v. Ferguson </w:t>
      </w:r>
      <w:r w:rsidRPr="0004424D">
        <w:rPr>
          <w:rFonts w:ascii="Times New Roman" w:hAnsi="Times New Roman"/>
          <w:szCs w:val="24"/>
        </w:rPr>
        <w:t>which approved the doctrine as constitutional in 1896</w:t>
      </w:r>
      <w:r w:rsidR="00902FDA" w:rsidRPr="00902FDA">
        <w:rPr>
          <w:rFonts w:ascii="Times New Roman" w:hAnsi="Times New Roman"/>
          <w:color w:val="222222"/>
          <w:szCs w:val="24"/>
          <w:shd w:val="clear" w:color="auto" w:fill="FFFFFF"/>
        </w:rPr>
        <w:t xml:space="preserve"> </w:t>
      </w:r>
      <w:r w:rsidR="00902FDA">
        <w:rPr>
          <w:rFonts w:ascii="Times New Roman" w:hAnsi="Times New Roman"/>
          <w:color w:val="222222"/>
          <w:szCs w:val="24"/>
          <w:shd w:val="clear" w:color="auto" w:fill="FFFFFF"/>
        </w:rPr>
        <w:t>(</w:t>
      </w:r>
      <w:r w:rsidR="00902FDA">
        <w:rPr>
          <w:rFonts w:ascii="Times New Roman" w:hAnsi="Times New Roman"/>
          <w:szCs w:val="24"/>
        </w:rPr>
        <w:t>Bell Jr, 1980)</w:t>
      </w:r>
      <w:r w:rsidRPr="0004424D">
        <w:rPr>
          <w:rFonts w:ascii="Times New Roman" w:hAnsi="Times New Roman"/>
          <w:szCs w:val="24"/>
        </w:rPr>
        <w:t xml:space="preserve">.   </w:t>
      </w:r>
    </w:p>
    <w:p w:rsidR="0096435E" w:rsidRPr="0004424D" w:rsidRDefault="00126744" w:rsidP="0004424D">
      <w:pPr>
        <w:spacing w:line="480" w:lineRule="auto"/>
        <w:rPr>
          <w:rFonts w:ascii="Times New Roman" w:hAnsi="Times New Roman"/>
          <w:szCs w:val="24"/>
        </w:rPr>
      </w:pPr>
      <w:r w:rsidRPr="0004424D">
        <w:rPr>
          <w:rFonts w:ascii="Times New Roman" w:hAnsi="Times New Roman"/>
          <w:szCs w:val="24"/>
        </w:rPr>
        <w:t xml:space="preserve">Dissenting/Concurring Opinions: </w:t>
      </w:r>
    </w:p>
    <w:p w:rsidR="0096435E" w:rsidRPr="0004424D" w:rsidRDefault="00126744" w:rsidP="0004424D">
      <w:pPr>
        <w:spacing w:line="480" w:lineRule="auto"/>
        <w:rPr>
          <w:rFonts w:ascii="Times New Roman" w:hAnsi="Times New Roman"/>
          <w:szCs w:val="24"/>
        </w:rPr>
      </w:pPr>
      <w:r w:rsidRPr="0004424D">
        <w:rPr>
          <w:rFonts w:ascii="Times New Roman" w:hAnsi="Times New Roman"/>
          <w:szCs w:val="24"/>
        </w:rPr>
        <w:t>None</w:t>
      </w:r>
    </w:p>
    <w:p w:rsidR="0096435E" w:rsidRPr="0004424D" w:rsidRDefault="00126744">
      <w:pPr>
        <w:rPr>
          <w:rFonts w:ascii="Times New Roman" w:hAnsi="Times New Roman"/>
          <w:szCs w:val="24"/>
        </w:rPr>
      </w:pPr>
      <w:r w:rsidRPr="0004424D">
        <w:rPr>
          <w:rFonts w:ascii="Times New Roman" w:hAnsi="Times New Roman"/>
          <w:szCs w:val="24"/>
        </w:rPr>
        <w:br w:type="page"/>
      </w:r>
    </w:p>
    <w:p w:rsidR="0096435E" w:rsidRPr="0004424D" w:rsidRDefault="00126744" w:rsidP="0096435E">
      <w:pPr>
        <w:spacing w:line="480" w:lineRule="auto"/>
        <w:jc w:val="center"/>
        <w:rPr>
          <w:rFonts w:ascii="Times New Roman" w:hAnsi="Times New Roman"/>
          <w:szCs w:val="24"/>
        </w:rPr>
      </w:pPr>
      <w:r w:rsidRPr="0004424D">
        <w:rPr>
          <w:rFonts w:ascii="Times New Roman" w:hAnsi="Times New Roman"/>
          <w:szCs w:val="24"/>
        </w:rPr>
        <w:lastRenderedPageBreak/>
        <w:t>References</w:t>
      </w:r>
    </w:p>
    <w:p w:rsidR="00317A44" w:rsidRPr="0004424D" w:rsidRDefault="00317A44" w:rsidP="0004424D">
      <w:pPr>
        <w:spacing w:line="480" w:lineRule="auto"/>
        <w:ind w:left="720" w:hanging="720"/>
        <w:rPr>
          <w:rFonts w:ascii="Times New Roman" w:hAnsi="Times New Roman"/>
          <w:color w:val="222222"/>
          <w:szCs w:val="24"/>
          <w:shd w:val="clear" w:color="auto" w:fill="FFFFFF"/>
        </w:rPr>
      </w:pPr>
      <w:r w:rsidRPr="0004424D">
        <w:rPr>
          <w:rFonts w:ascii="Times New Roman" w:hAnsi="Times New Roman"/>
          <w:color w:val="222222"/>
          <w:szCs w:val="24"/>
          <w:shd w:val="clear" w:color="auto" w:fill="FFFFFF"/>
        </w:rPr>
        <w:t>Bell Jr, D. A. (1980). Brown v. Board of Education and the interest-convergence dilemma. </w:t>
      </w:r>
      <w:r w:rsidRPr="0004424D">
        <w:rPr>
          <w:rFonts w:ascii="Times New Roman" w:hAnsi="Times New Roman"/>
          <w:i/>
          <w:iCs/>
          <w:color w:val="222222"/>
          <w:szCs w:val="24"/>
          <w:shd w:val="clear" w:color="auto" w:fill="FFFFFF"/>
        </w:rPr>
        <w:t>Harvard law review</w:t>
      </w:r>
      <w:r w:rsidRPr="0004424D">
        <w:rPr>
          <w:rFonts w:ascii="Times New Roman" w:hAnsi="Times New Roman"/>
          <w:color w:val="222222"/>
          <w:szCs w:val="24"/>
          <w:shd w:val="clear" w:color="auto" w:fill="FFFFFF"/>
        </w:rPr>
        <w:t>, 518-533.</w:t>
      </w:r>
    </w:p>
    <w:p w:rsidR="00317A44" w:rsidRPr="0004424D" w:rsidRDefault="00317A44" w:rsidP="0096435E">
      <w:pPr>
        <w:shd w:val="clear" w:color="auto" w:fill="FFFFFF"/>
        <w:spacing w:line="480" w:lineRule="auto"/>
        <w:ind w:left="720" w:hanging="720"/>
        <w:rPr>
          <w:rFonts w:ascii="Times New Roman" w:hAnsi="Times New Roman"/>
          <w:color w:val="333333"/>
          <w:szCs w:val="24"/>
        </w:rPr>
      </w:pPr>
      <w:r w:rsidRPr="0004424D">
        <w:rPr>
          <w:rFonts w:ascii="Times New Roman" w:hAnsi="Times New Roman"/>
          <w:color w:val="222222"/>
          <w:szCs w:val="24"/>
          <w:shd w:val="clear" w:color="auto" w:fill="FFFFFF"/>
        </w:rPr>
        <w:t>Bishop, D. W. (1977). Plessy v. Ferguson: A reinterpretation. </w:t>
      </w:r>
      <w:r w:rsidRPr="0004424D">
        <w:rPr>
          <w:rFonts w:ascii="Times New Roman" w:hAnsi="Times New Roman"/>
          <w:i/>
          <w:iCs/>
          <w:color w:val="222222"/>
          <w:szCs w:val="24"/>
          <w:shd w:val="clear" w:color="auto" w:fill="FFFFFF"/>
        </w:rPr>
        <w:t>The Journal of Negro History</w:t>
      </w:r>
      <w:r w:rsidRPr="0004424D">
        <w:rPr>
          <w:rFonts w:ascii="Times New Roman" w:hAnsi="Times New Roman"/>
          <w:color w:val="222222"/>
          <w:szCs w:val="24"/>
          <w:shd w:val="clear" w:color="auto" w:fill="FFFFFF"/>
        </w:rPr>
        <w:t>, </w:t>
      </w:r>
      <w:r w:rsidRPr="0004424D">
        <w:rPr>
          <w:rFonts w:ascii="Times New Roman" w:hAnsi="Times New Roman"/>
          <w:i/>
          <w:iCs/>
          <w:color w:val="222222"/>
          <w:szCs w:val="24"/>
          <w:shd w:val="clear" w:color="auto" w:fill="FFFFFF"/>
        </w:rPr>
        <w:t>62</w:t>
      </w:r>
      <w:r w:rsidRPr="0004424D">
        <w:rPr>
          <w:rFonts w:ascii="Times New Roman" w:hAnsi="Times New Roman"/>
          <w:color w:val="222222"/>
          <w:szCs w:val="24"/>
          <w:shd w:val="clear" w:color="auto" w:fill="FFFFFF"/>
        </w:rPr>
        <w:t>(2), 125-133.</w:t>
      </w:r>
    </w:p>
    <w:p w:rsidR="00317A44" w:rsidRPr="0004424D" w:rsidRDefault="00317A44" w:rsidP="0096435E">
      <w:pPr>
        <w:spacing w:after="200" w:line="480" w:lineRule="auto"/>
        <w:ind w:left="720" w:hanging="720"/>
        <w:rPr>
          <w:rFonts w:ascii="Times New Roman" w:eastAsiaTheme="minorHAnsi" w:hAnsi="Times New Roman"/>
          <w:color w:val="222222"/>
          <w:szCs w:val="24"/>
          <w:shd w:val="clear" w:color="auto" w:fill="FFFFFF"/>
        </w:rPr>
      </w:pPr>
      <w:r w:rsidRPr="0004424D">
        <w:rPr>
          <w:rFonts w:ascii="Times New Roman" w:hAnsi="Times New Roman"/>
          <w:color w:val="333333"/>
          <w:szCs w:val="24"/>
        </w:rPr>
        <w:t>Groves, H. (1951). Separate but Equal--The Doctrine of Plessy v. Ferguson. </w:t>
      </w:r>
      <w:r w:rsidRPr="0004424D">
        <w:rPr>
          <w:rFonts w:ascii="Times New Roman" w:hAnsi="Times New Roman"/>
          <w:i/>
          <w:iCs/>
          <w:color w:val="333333"/>
          <w:szCs w:val="24"/>
        </w:rPr>
        <w:t>Phylon (1940-1956),</w:t>
      </w:r>
      <w:r w:rsidRPr="0004424D">
        <w:rPr>
          <w:rFonts w:ascii="Times New Roman" w:hAnsi="Times New Roman"/>
          <w:color w:val="333333"/>
          <w:szCs w:val="24"/>
        </w:rPr>
        <w:t> </w:t>
      </w:r>
      <w:r w:rsidRPr="0004424D">
        <w:rPr>
          <w:rFonts w:ascii="Times New Roman" w:hAnsi="Times New Roman"/>
          <w:i/>
          <w:iCs/>
          <w:color w:val="333333"/>
          <w:szCs w:val="24"/>
        </w:rPr>
        <w:t>12</w:t>
      </w:r>
      <w:r w:rsidRPr="0004424D">
        <w:rPr>
          <w:rFonts w:ascii="Times New Roman" w:hAnsi="Times New Roman"/>
          <w:color w:val="333333"/>
          <w:szCs w:val="24"/>
        </w:rPr>
        <w:t>(1), 66-72. doi:10.2307/272323</w:t>
      </w:r>
    </w:p>
    <w:p w:rsidR="00317A44" w:rsidRPr="0004424D" w:rsidRDefault="00317A44" w:rsidP="0096435E">
      <w:pPr>
        <w:spacing w:line="480" w:lineRule="auto"/>
        <w:ind w:left="720" w:hanging="720"/>
        <w:rPr>
          <w:rFonts w:ascii="Times New Roman" w:hAnsi="Times New Roman"/>
          <w:color w:val="222222"/>
          <w:szCs w:val="24"/>
          <w:shd w:val="clear" w:color="auto" w:fill="FFFFFF"/>
        </w:rPr>
      </w:pPr>
      <w:r w:rsidRPr="0004424D">
        <w:rPr>
          <w:rFonts w:ascii="Times New Roman" w:hAnsi="Times New Roman"/>
          <w:color w:val="222222"/>
          <w:szCs w:val="24"/>
          <w:shd w:val="clear" w:color="auto" w:fill="FFFFFF"/>
        </w:rPr>
        <w:t>Kaupear, P. G. (1954). Segregation in public education: The decline of Plessy v. Ferguson. </w:t>
      </w:r>
      <w:r w:rsidRPr="0004424D">
        <w:rPr>
          <w:rFonts w:ascii="Times New Roman" w:hAnsi="Times New Roman"/>
          <w:i/>
          <w:iCs/>
          <w:color w:val="222222"/>
          <w:szCs w:val="24"/>
          <w:shd w:val="clear" w:color="auto" w:fill="FFFFFF"/>
        </w:rPr>
        <w:t>Michigan Law Review</w:t>
      </w:r>
      <w:r w:rsidRPr="0004424D">
        <w:rPr>
          <w:rFonts w:ascii="Times New Roman" w:hAnsi="Times New Roman"/>
          <w:color w:val="222222"/>
          <w:szCs w:val="24"/>
          <w:shd w:val="clear" w:color="auto" w:fill="FFFFFF"/>
        </w:rPr>
        <w:t>, </w:t>
      </w:r>
      <w:bookmarkStart w:id="3" w:name="_GoBack"/>
      <w:bookmarkEnd w:id="3"/>
      <w:r w:rsidRPr="0004424D">
        <w:rPr>
          <w:rFonts w:ascii="Times New Roman" w:hAnsi="Times New Roman"/>
          <w:i/>
          <w:iCs/>
          <w:color w:val="222222"/>
          <w:szCs w:val="24"/>
          <w:shd w:val="clear" w:color="auto" w:fill="FFFFFF"/>
        </w:rPr>
        <w:t>52</w:t>
      </w:r>
      <w:r w:rsidRPr="0004424D">
        <w:rPr>
          <w:rFonts w:ascii="Times New Roman" w:hAnsi="Times New Roman"/>
          <w:color w:val="222222"/>
          <w:szCs w:val="24"/>
          <w:shd w:val="clear" w:color="auto" w:fill="FFFFFF"/>
        </w:rPr>
        <w:t>(8), 1137-1158.</w:t>
      </w:r>
    </w:p>
    <w:sectPr w:rsidR="00317A44" w:rsidRPr="0004424D" w:rsidSect="00656E36">
      <w:headerReference w:type="default" r:id="rId8"/>
      <w:headerReference w:type="first" r:id="rId9"/>
      <w:pgSz w:w="12240" w:h="15840"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6744" w:rsidRDefault="00126744">
      <w:r>
        <w:separator/>
      </w:r>
    </w:p>
  </w:endnote>
  <w:endnote w:type="continuationSeparator" w:id="0">
    <w:p w:rsidR="00126744" w:rsidRDefault="00126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6744" w:rsidRDefault="00126744">
      <w:r>
        <w:separator/>
      </w:r>
    </w:p>
  </w:footnote>
  <w:footnote w:type="continuationSeparator" w:id="0">
    <w:p w:rsidR="00126744" w:rsidRDefault="001267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6E36" w:rsidRDefault="00126744" w:rsidP="00656E36">
    <w:pPr>
      <w:pStyle w:val="Header"/>
    </w:pPr>
    <w:r>
      <w:t>CASE SYNOPSIS</w:t>
    </w:r>
    <w:r w:rsidR="00F55EE7">
      <w:tab/>
    </w:r>
    <w:r>
      <w:tab/>
    </w:r>
    <w:r w:rsidR="00946585">
      <w:fldChar w:fldCharType="begin"/>
    </w:r>
    <w:r w:rsidR="00946585">
      <w:instrText xml:space="preserve"> PAGE   \* MERGEFORMAT </w:instrText>
    </w:r>
    <w:r w:rsidR="00946585">
      <w:fldChar w:fldCharType="separate"/>
    </w:r>
    <w:r w:rsidR="00317A44">
      <w:rPr>
        <w:noProof/>
      </w:rPr>
      <w:t>4</w:t>
    </w:r>
    <w:r w:rsidR="00946585">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6E36" w:rsidRDefault="00126744" w:rsidP="003D15D5">
    <w:pPr>
      <w:pStyle w:val="Heading1"/>
      <w:jc w:val="left"/>
    </w:pPr>
    <w:r>
      <w:t>R</w:t>
    </w:r>
    <w:r w:rsidR="0004424D">
      <w:t>unning Head</w:t>
    </w:r>
    <w:r>
      <w:t xml:space="preserve">: </w:t>
    </w:r>
    <w:r w:rsidR="0096435E">
      <w:t>CASE SYNOPSIS</w:t>
    </w:r>
    <w:r w:rsidR="003D15D5">
      <w:tab/>
    </w:r>
    <w:r w:rsidR="008019CC">
      <w:tab/>
    </w:r>
    <w:r w:rsidR="008019CC">
      <w:tab/>
    </w:r>
    <w:r w:rsidR="008019CC">
      <w:tab/>
    </w:r>
    <w:r w:rsidR="008019CC">
      <w:tab/>
    </w:r>
    <w:r w:rsidR="005B3DAD">
      <w:tab/>
    </w:r>
    <w:r w:rsidR="005B3DAD">
      <w:tab/>
    </w:r>
    <w:r w:rsidR="005B3DAD">
      <w:tab/>
    </w:r>
    <w:r>
      <w:t xml:space="preserve"> </w:t>
    </w:r>
    <w:r w:rsidR="00946585">
      <w:fldChar w:fldCharType="begin"/>
    </w:r>
    <w:r w:rsidR="00946585">
      <w:instrText xml:space="preserve"> PAGE   \* MERGEFORMAT </w:instrText>
    </w:r>
    <w:r w:rsidR="00946585">
      <w:fldChar w:fldCharType="separate"/>
    </w:r>
    <w:r w:rsidR="00317A44">
      <w:rPr>
        <w:noProof/>
      </w:rPr>
      <w:t>1</w:t>
    </w:r>
    <w:r w:rsidR="00946585">
      <w:rPr>
        <w:noProof/>
      </w:rPr>
      <w:fldChar w:fldCharType="end"/>
    </w:r>
  </w:p>
  <w:p w:rsidR="00656E36" w:rsidRDefault="00656E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5E2ED2"/>
    <w:lvl w:ilvl="0">
      <w:start w:val="1"/>
      <w:numFmt w:val="decimal"/>
      <w:lvlText w:val="%1."/>
      <w:lvlJc w:val="left"/>
      <w:pPr>
        <w:tabs>
          <w:tab w:val="num" w:pos="1800"/>
        </w:tabs>
        <w:ind w:left="1800" w:hanging="360"/>
      </w:pPr>
    </w:lvl>
  </w:abstractNum>
  <w:abstractNum w:abstractNumId="1">
    <w:nsid w:val="FFFFFF7D"/>
    <w:multiLevelType w:val="singleLevel"/>
    <w:tmpl w:val="E07A3CB2"/>
    <w:lvl w:ilvl="0">
      <w:start w:val="1"/>
      <w:numFmt w:val="decimal"/>
      <w:lvlText w:val="%1."/>
      <w:lvlJc w:val="left"/>
      <w:pPr>
        <w:tabs>
          <w:tab w:val="num" w:pos="1440"/>
        </w:tabs>
        <w:ind w:left="1440" w:hanging="360"/>
      </w:pPr>
    </w:lvl>
  </w:abstractNum>
  <w:abstractNum w:abstractNumId="2">
    <w:nsid w:val="FFFFFF7E"/>
    <w:multiLevelType w:val="singleLevel"/>
    <w:tmpl w:val="A2EE0CA8"/>
    <w:lvl w:ilvl="0">
      <w:start w:val="1"/>
      <w:numFmt w:val="decimal"/>
      <w:lvlText w:val="%1."/>
      <w:lvlJc w:val="left"/>
      <w:pPr>
        <w:tabs>
          <w:tab w:val="num" w:pos="1080"/>
        </w:tabs>
        <w:ind w:left="1080" w:hanging="360"/>
      </w:pPr>
    </w:lvl>
  </w:abstractNum>
  <w:abstractNum w:abstractNumId="3">
    <w:nsid w:val="FFFFFF7F"/>
    <w:multiLevelType w:val="singleLevel"/>
    <w:tmpl w:val="D414B588"/>
    <w:lvl w:ilvl="0">
      <w:start w:val="1"/>
      <w:numFmt w:val="decimal"/>
      <w:lvlText w:val="%1."/>
      <w:lvlJc w:val="left"/>
      <w:pPr>
        <w:tabs>
          <w:tab w:val="num" w:pos="720"/>
        </w:tabs>
        <w:ind w:left="720" w:hanging="360"/>
      </w:pPr>
    </w:lvl>
  </w:abstractNum>
  <w:abstractNum w:abstractNumId="4">
    <w:nsid w:val="FFFFFF80"/>
    <w:multiLevelType w:val="singleLevel"/>
    <w:tmpl w:val="F6AE0B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150A60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B62B30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C29BE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FDC7974"/>
    <w:lvl w:ilvl="0">
      <w:start w:val="1"/>
      <w:numFmt w:val="decimal"/>
      <w:lvlText w:val="%1."/>
      <w:lvlJc w:val="left"/>
      <w:pPr>
        <w:tabs>
          <w:tab w:val="num" w:pos="360"/>
        </w:tabs>
        <w:ind w:left="360" w:hanging="360"/>
      </w:pPr>
    </w:lvl>
  </w:abstractNum>
  <w:abstractNum w:abstractNumId="9">
    <w:nsid w:val="FFFFFF89"/>
    <w:multiLevelType w:val="singleLevel"/>
    <w:tmpl w:val="066A8E08"/>
    <w:lvl w:ilvl="0">
      <w:start w:val="1"/>
      <w:numFmt w:val="bullet"/>
      <w:lvlText w:val=""/>
      <w:lvlJc w:val="left"/>
      <w:pPr>
        <w:tabs>
          <w:tab w:val="num" w:pos="360"/>
        </w:tabs>
        <w:ind w:left="360" w:hanging="360"/>
      </w:pPr>
      <w:rPr>
        <w:rFonts w:ascii="Symbol" w:hAnsi="Symbol" w:hint="default"/>
      </w:rPr>
    </w:lvl>
  </w:abstractNum>
  <w:abstractNum w:abstractNumId="10">
    <w:nsid w:val="56820DB3"/>
    <w:multiLevelType w:val="hybridMultilevel"/>
    <w:tmpl w:val="45F64BB2"/>
    <w:lvl w:ilvl="0" w:tplc="75F2315C">
      <w:start w:val="1"/>
      <w:numFmt w:val="decimal"/>
      <w:pStyle w:val="Numberedlist"/>
      <w:lvlText w:val="%1."/>
      <w:lvlJc w:val="left"/>
      <w:pPr>
        <w:tabs>
          <w:tab w:val="num" w:pos="900"/>
        </w:tabs>
        <w:ind w:left="900" w:hanging="360"/>
      </w:pPr>
      <w:rPr>
        <w:rFonts w:hint="default"/>
      </w:rPr>
    </w:lvl>
    <w:lvl w:ilvl="1" w:tplc="27F43760" w:tentative="1">
      <w:start w:val="1"/>
      <w:numFmt w:val="lowerLetter"/>
      <w:lvlText w:val="%2."/>
      <w:lvlJc w:val="left"/>
      <w:pPr>
        <w:tabs>
          <w:tab w:val="num" w:pos="1620"/>
        </w:tabs>
        <w:ind w:left="1620" w:hanging="360"/>
      </w:pPr>
    </w:lvl>
    <w:lvl w:ilvl="2" w:tplc="A518373A" w:tentative="1">
      <w:start w:val="1"/>
      <w:numFmt w:val="lowerRoman"/>
      <w:lvlText w:val="%3."/>
      <w:lvlJc w:val="right"/>
      <w:pPr>
        <w:tabs>
          <w:tab w:val="num" w:pos="2340"/>
        </w:tabs>
        <w:ind w:left="2340" w:hanging="180"/>
      </w:pPr>
    </w:lvl>
    <w:lvl w:ilvl="3" w:tplc="0A2461B8" w:tentative="1">
      <w:start w:val="1"/>
      <w:numFmt w:val="decimal"/>
      <w:lvlText w:val="%4."/>
      <w:lvlJc w:val="left"/>
      <w:pPr>
        <w:tabs>
          <w:tab w:val="num" w:pos="3060"/>
        </w:tabs>
        <w:ind w:left="3060" w:hanging="360"/>
      </w:pPr>
    </w:lvl>
    <w:lvl w:ilvl="4" w:tplc="33E2D2C4" w:tentative="1">
      <w:start w:val="1"/>
      <w:numFmt w:val="lowerLetter"/>
      <w:lvlText w:val="%5."/>
      <w:lvlJc w:val="left"/>
      <w:pPr>
        <w:tabs>
          <w:tab w:val="num" w:pos="3780"/>
        </w:tabs>
        <w:ind w:left="3780" w:hanging="360"/>
      </w:pPr>
    </w:lvl>
    <w:lvl w:ilvl="5" w:tplc="40009F0E" w:tentative="1">
      <w:start w:val="1"/>
      <w:numFmt w:val="lowerRoman"/>
      <w:lvlText w:val="%6."/>
      <w:lvlJc w:val="right"/>
      <w:pPr>
        <w:tabs>
          <w:tab w:val="num" w:pos="4500"/>
        </w:tabs>
        <w:ind w:left="4500" w:hanging="180"/>
      </w:pPr>
    </w:lvl>
    <w:lvl w:ilvl="6" w:tplc="88E6810C" w:tentative="1">
      <w:start w:val="1"/>
      <w:numFmt w:val="decimal"/>
      <w:lvlText w:val="%7."/>
      <w:lvlJc w:val="left"/>
      <w:pPr>
        <w:tabs>
          <w:tab w:val="num" w:pos="5220"/>
        </w:tabs>
        <w:ind w:left="5220" w:hanging="360"/>
      </w:pPr>
    </w:lvl>
    <w:lvl w:ilvl="7" w:tplc="2834A186" w:tentative="1">
      <w:start w:val="1"/>
      <w:numFmt w:val="lowerLetter"/>
      <w:lvlText w:val="%8."/>
      <w:lvlJc w:val="left"/>
      <w:pPr>
        <w:tabs>
          <w:tab w:val="num" w:pos="5940"/>
        </w:tabs>
        <w:ind w:left="5940" w:hanging="360"/>
      </w:pPr>
    </w:lvl>
    <w:lvl w:ilvl="8" w:tplc="2CF04324" w:tentative="1">
      <w:start w:val="1"/>
      <w:numFmt w:val="lowerRoman"/>
      <w:lvlText w:val="%9."/>
      <w:lvlJc w:val="right"/>
      <w:pPr>
        <w:tabs>
          <w:tab w:val="num" w:pos="6660"/>
        </w:tabs>
        <w:ind w:left="6660" w:hanging="180"/>
      </w:pPr>
    </w:lvl>
  </w:abstractNum>
  <w:abstractNum w:abstractNumId="11">
    <w:nsid w:val="74610702"/>
    <w:multiLevelType w:val="hybridMultilevel"/>
    <w:tmpl w:val="27E60BB0"/>
    <w:lvl w:ilvl="0" w:tplc="811C76DA">
      <w:start w:val="1"/>
      <w:numFmt w:val="decimal"/>
      <w:lvlText w:val="%1."/>
      <w:lvlJc w:val="left"/>
      <w:pPr>
        <w:tabs>
          <w:tab w:val="num" w:pos="1260"/>
        </w:tabs>
        <w:ind w:left="1260" w:hanging="360"/>
      </w:pPr>
    </w:lvl>
    <w:lvl w:ilvl="1" w:tplc="10B8BE86" w:tentative="1">
      <w:start w:val="1"/>
      <w:numFmt w:val="lowerLetter"/>
      <w:lvlText w:val="%2."/>
      <w:lvlJc w:val="left"/>
      <w:pPr>
        <w:tabs>
          <w:tab w:val="num" w:pos="1980"/>
        </w:tabs>
        <w:ind w:left="1980" w:hanging="360"/>
      </w:pPr>
    </w:lvl>
    <w:lvl w:ilvl="2" w:tplc="BF92FD2C" w:tentative="1">
      <w:start w:val="1"/>
      <w:numFmt w:val="lowerRoman"/>
      <w:lvlText w:val="%3."/>
      <w:lvlJc w:val="right"/>
      <w:pPr>
        <w:tabs>
          <w:tab w:val="num" w:pos="2700"/>
        </w:tabs>
        <w:ind w:left="2700" w:hanging="180"/>
      </w:pPr>
    </w:lvl>
    <w:lvl w:ilvl="3" w:tplc="099AC7AC" w:tentative="1">
      <w:start w:val="1"/>
      <w:numFmt w:val="decimal"/>
      <w:lvlText w:val="%4."/>
      <w:lvlJc w:val="left"/>
      <w:pPr>
        <w:tabs>
          <w:tab w:val="num" w:pos="3420"/>
        </w:tabs>
        <w:ind w:left="3420" w:hanging="360"/>
      </w:pPr>
    </w:lvl>
    <w:lvl w:ilvl="4" w:tplc="8AD809DE" w:tentative="1">
      <w:start w:val="1"/>
      <w:numFmt w:val="lowerLetter"/>
      <w:lvlText w:val="%5."/>
      <w:lvlJc w:val="left"/>
      <w:pPr>
        <w:tabs>
          <w:tab w:val="num" w:pos="4140"/>
        </w:tabs>
        <w:ind w:left="4140" w:hanging="360"/>
      </w:pPr>
    </w:lvl>
    <w:lvl w:ilvl="5" w:tplc="D47C3582" w:tentative="1">
      <w:start w:val="1"/>
      <w:numFmt w:val="lowerRoman"/>
      <w:lvlText w:val="%6."/>
      <w:lvlJc w:val="right"/>
      <w:pPr>
        <w:tabs>
          <w:tab w:val="num" w:pos="4860"/>
        </w:tabs>
        <w:ind w:left="4860" w:hanging="180"/>
      </w:pPr>
    </w:lvl>
    <w:lvl w:ilvl="6" w:tplc="36E2DEB2" w:tentative="1">
      <w:start w:val="1"/>
      <w:numFmt w:val="decimal"/>
      <w:lvlText w:val="%7."/>
      <w:lvlJc w:val="left"/>
      <w:pPr>
        <w:tabs>
          <w:tab w:val="num" w:pos="5580"/>
        </w:tabs>
        <w:ind w:left="5580" w:hanging="360"/>
      </w:pPr>
    </w:lvl>
    <w:lvl w:ilvl="7" w:tplc="DF4C0608" w:tentative="1">
      <w:start w:val="1"/>
      <w:numFmt w:val="lowerLetter"/>
      <w:lvlText w:val="%8."/>
      <w:lvlJc w:val="left"/>
      <w:pPr>
        <w:tabs>
          <w:tab w:val="num" w:pos="6300"/>
        </w:tabs>
        <w:ind w:left="6300" w:hanging="360"/>
      </w:pPr>
    </w:lvl>
    <w:lvl w:ilvl="8" w:tplc="E34A4A90" w:tentative="1">
      <w:start w:val="1"/>
      <w:numFmt w:val="lowerRoman"/>
      <w:lvlText w:val="%9."/>
      <w:lvlJc w:val="right"/>
      <w:pPr>
        <w:tabs>
          <w:tab w:val="num" w:pos="7020"/>
        </w:tabs>
        <w:ind w:left="70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EyN7K0MLI0MDAEcpR0lIJTi4sz8/NACkxrAZgUkM8sAAAA"/>
  </w:docVars>
  <w:rsids>
    <w:rsidRoot w:val="00923FEC"/>
    <w:rsid w:val="0004424D"/>
    <w:rsid w:val="0005557E"/>
    <w:rsid w:val="00083425"/>
    <w:rsid w:val="000F55A9"/>
    <w:rsid w:val="00126744"/>
    <w:rsid w:val="001D5854"/>
    <w:rsid w:val="00200FC9"/>
    <w:rsid w:val="00217B56"/>
    <w:rsid w:val="00317A44"/>
    <w:rsid w:val="00354B3C"/>
    <w:rsid w:val="003D15D5"/>
    <w:rsid w:val="00400A5A"/>
    <w:rsid w:val="004C6286"/>
    <w:rsid w:val="00516983"/>
    <w:rsid w:val="00560662"/>
    <w:rsid w:val="00572052"/>
    <w:rsid w:val="005935CF"/>
    <w:rsid w:val="005B3DAD"/>
    <w:rsid w:val="00656E36"/>
    <w:rsid w:val="00694B25"/>
    <w:rsid w:val="006F5309"/>
    <w:rsid w:val="00783A30"/>
    <w:rsid w:val="007B79BD"/>
    <w:rsid w:val="007E4088"/>
    <w:rsid w:val="008019CC"/>
    <w:rsid w:val="00902FDA"/>
    <w:rsid w:val="00923FEC"/>
    <w:rsid w:val="00946585"/>
    <w:rsid w:val="0096435E"/>
    <w:rsid w:val="009E5D78"/>
    <w:rsid w:val="00A32485"/>
    <w:rsid w:val="00B13707"/>
    <w:rsid w:val="00B21493"/>
    <w:rsid w:val="00B338D5"/>
    <w:rsid w:val="00B454B7"/>
    <w:rsid w:val="00B62833"/>
    <w:rsid w:val="00B94611"/>
    <w:rsid w:val="00BA1A3F"/>
    <w:rsid w:val="00C23296"/>
    <w:rsid w:val="00C521CF"/>
    <w:rsid w:val="00D35BEF"/>
    <w:rsid w:val="00DB3D7C"/>
    <w:rsid w:val="00E21C53"/>
    <w:rsid w:val="00E25C3C"/>
    <w:rsid w:val="00E70F84"/>
    <w:rsid w:val="00F00B2E"/>
    <w:rsid w:val="00F55EE7"/>
    <w:rsid w:val="00F571CA"/>
    <w:rsid w:val="00F87BEF"/>
    <w:rsid w:val="00FA7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32485"/>
    <w:rPr>
      <w:sz w:val="24"/>
    </w:rPr>
  </w:style>
  <w:style w:type="paragraph" w:styleId="Heading1">
    <w:name w:val="heading 1"/>
    <w:basedOn w:val="Normal"/>
    <w:next w:val="BodyText"/>
    <w:link w:val="Heading1Char"/>
    <w:qFormat/>
    <w:rsid w:val="00400A5A"/>
    <w:pPr>
      <w:spacing w:line="480" w:lineRule="auto"/>
      <w:jc w:val="center"/>
      <w:outlineLvl w:val="0"/>
    </w:pPr>
    <w:rPr>
      <w:rFonts w:ascii="Times New Roman" w:hAnsi="Times New Roman"/>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link w:val="HeaderChar"/>
    <w:uiPriority w:val="99"/>
    <w:rsid w:val="00A32485"/>
    <w:pPr>
      <w:tabs>
        <w:tab w:val="center" w:pos="4320"/>
        <w:tab w:val="right" w:pos="8640"/>
      </w:tabs>
    </w:pPr>
    <w:rPr>
      <w:rFonts w:ascii="Times New Roman" w:hAnsi="Times New Roman"/>
    </w:rPr>
  </w:style>
  <w:style w:type="character" w:styleId="PageNumber">
    <w:name w:val="page number"/>
    <w:basedOn w:val="DefaultParagraphFont"/>
    <w:rsid w:val="00A32485"/>
  </w:style>
  <w:style w:type="character" w:styleId="Hyperlink">
    <w:name w:val="Hyperlink"/>
    <w:basedOn w:val="DefaultParagraphFont"/>
    <w:rsid w:val="00A32485"/>
    <w:rPr>
      <w:color w:val="0000FF"/>
      <w:u w:val="single"/>
    </w:rPr>
  </w:style>
  <w:style w:type="character" w:customStyle="1" w:styleId="Heading1Char">
    <w:name w:val="Heading 1 Char"/>
    <w:basedOn w:val="DefaultParagraphFont"/>
    <w:link w:val="Heading1"/>
    <w:rsid w:val="001D5854"/>
    <w:rPr>
      <w:sz w:val="24"/>
      <w:lang w:val="en-US" w:eastAsia="en-US" w:bidi="ar-SA"/>
    </w:rPr>
  </w:style>
  <w:style w:type="paragraph" w:styleId="Footer">
    <w:name w:val="footer"/>
    <w:basedOn w:val="Normal"/>
    <w:rsid w:val="00A32485"/>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basedOn w:val="DefaultParagraphFont"/>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character" w:customStyle="1" w:styleId="HeaderChar">
    <w:name w:val="Header Char"/>
    <w:basedOn w:val="DefaultParagraphFont"/>
    <w:link w:val="Header"/>
    <w:uiPriority w:val="99"/>
    <w:rsid w:val="00656E36"/>
    <w:rPr>
      <w:rFonts w:ascii="Times New Roman" w:hAnsi="Times New Roman"/>
      <w:sz w:val="24"/>
    </w:rPr>
  </w:style>
  <w:style w:type="character" w:customStyle="1" w:styleId="t">
    <w:name w:val="t"/>
    <w:basedOn w:val="DefaultParagraphFont"/>
    <w:rsid w:val="00F87B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32485"/>
    <w:rPr>
      <w:sz w:val="24"/>
    </w:rPr>
  </w:style>
  <w:style w:type="paragraph" w:styleId="Heading1">
    <w:name w:val="heading 1"/>
    <w:basedOn w:val="Normal"/>
    <w:next w:val="BodyText"/>
    <w:link w:val="Heading1Char"/>
    <w:qFormat/>
    <w:rsid w:val="00400A5A"/>
    <w:pPr>
      <w:spacing w:line="480" w:lineRule="auto"/>
      <w:jc w:val="center"/>
      <w:outlineLvl w:val="0"/>
    </w:pPr>
    <w:rPr>
      <w:rFonts w:ascii="Times New Roman" w:hAnsi="Times New Roman"/>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link w:val="HeaderChar"/>
    <w:uiPriority w:val="99"/>
    <w:rsid w:val="00A32485"/>
    <w:pPr>
      <w:tabs>
        <w:tab w:val="center" w:pos="4320"/>
        <w:tab w:val="right" w:pos="8640"/>
      </w:tabs>
    </w:pPr>
    <w:rPr>
      <w:rFonts w:ascii="Times New Roman" w:hAnsi="Times New Roman"/>
    </w:rPr>
  </w:style>
  <w:style w:type="character" w:styleId="PageNumber">
    <w:name w:val="page number"/>
    <w:basedOn w:val="DefaultParagraphFont"/>
    <w:rsid w:val="00A32485"/>
  </w:style>
  <w:style w:type="character" w:styleId="Hyperlink">
    <w:name w:val="Hyperlink"/>
    <w:basedOn w:val="DefaultParagraphFont"/>
    <w:rsid w:val="00A32485"/>
    <w:rPr>
      <w:color w:val="0000FF"/>
      <w:u w:val="single"/>
    </w:rPr>
  </w:style>
  <w:style w:type="character" w:customStyle="1" w:styleId="Heading1Char">
    <w:name w:val="Heading 1 Char"/>
    <w:basedOn w:val="DefaultParagraphFont"/>
    <w:link w:val="Heading1"/>
    <w:rsid w:val="001D5854"/>
    <w:rPr>
      <w:sz w:val="24"/>
      <w:lang w:val="en-US" w:eastAsia="en-US" w:bidi="ar-SA"/>
    </w:rPr>
  </w:style>
  <w:style w:type="paragraph" w:styleId="Footer">
    <w:name w:val="footer"/>
    <w:basedOn w:val="Normal"/>
    <w:rsid w:val="00A32485"/>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basedOn w:val="DefaultParagraphFont"/>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character" w:customStyle="1" w:styleId="HeaderChar">
    <w:name w:val="Header Char"/>
    <w:basedOn w:val="DefaultParagraphFont"/>
    <w:link w:val="Header"/>
    <w:uiPriority w:val="99"/>
    <w:rsid w:val="00656E36"/>
    <w:rPr>
      <w:rFonts w:ascii="Times New Roman" w:hAnsi="Times New Roman"/>
      <w:sz w:val="24"/>
    </w:rPr>
  </w:style>
  <w:style w:type="character" w:customStyle="1" w:styleId="t">
    <w:name w:val="t"/>
    <w:basedOn w:val="DefaultParagraphFont"/>
    <w:rsid w:val="00F87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paper%20forma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APA paper format</Template>
  <TotalTime>0</TotalTime>
  <Pages>4</Pages>
  <Words>454</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vanguard university</Company>
  <LinksUpToDate>false</LinksUpToDate>
  <CharactersWithSpaces>3042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MN</dc:creator>
  <cp:lastModifiedBy>Windows User</cp:lastModifiedBy>
  <cp:revision>2</cp:revision>
  <cp:lastPrinted>2002-05-11T12:16:00Z</cp:lastPrinted>
  <dcterms:created xsi:type="dcterms:W3CDTF">2020-09-17T03:09:00Z</dcterms:created>
  <dcterms:modified xsi:type="dcterms:W3CDTF">2020-09-17T03:09:00Z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TC100763231033</vt:lpwstr>
  </property>
</Properties>
</file>